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15/105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2026-0295-66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Relinging von Straßenablaufanschlussleitungen 2026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Arbeiten umfassen überwiegend die Renovierung schadhafter Straßenablaufanschlussleitungen im Schlauchreliningverfahren. Es handelt sich dabei um ca. 70 einzelne, in sich abgeschlossene Reliningmaßnahmen, die sich über das gesamte Stadtgebiet Münsters verteilen.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